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FAC" w:rsidRDefault="00485FAC" w:rsidP="00FF01B5">
      <w:pPr>
        <w:jc w:val="center"/>
        <w:rPr>
          <w:rFonts w:ascii="Century Gothic" w:hAnsi="Century Gothic"/>
          <w:b/>
        </w:rPr>
      </w:pPr>
      <w:r>
        <w:rPr>
          <w:rFonts w:ascii="Century Gothic" w:hAnsi="Century Gothic"/>
          <w:b/>
          <w:noProof/>
          <w:lang w:eastAsia="en-NZ"/>
        </w:rPr>
        <w:drawing>
          <wp:anchor distT="0" distB="0" distL="114300" distR="114300" simplePos="0" relativeHeight="251659264" behindDoc="1" locked="0" layoutInCell="1" allowOverlap="1">
            <wp:simplePos x="0" y="0"/>
            <wp:positionH relativeFrom="column">
              <wp:posOffset>4600575</wp:posOffset>
            </wp:positionH>
            <wp:positionV relativeFrom="paragraph">
              <wp:posOffset>179705</wp:posOffset>
            </wp:positionV>
            <wp:extent cx="1200150" cy="671830"/>
            <wp:effectExtent l="0" t="0" r="0" b="0"/>
            <wp:wrapTight wrapText="bothSides">
              <wp:wrapPolygon edited="0">
                <wp:start x="0" y="0"/>
                <wp:lineTo x="0" y="20824"/>
                <wp:lineTo x="21257" y="20824"/>
                <wp:lineTo x="21257"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00150" cy="67183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485FAC">
        <w:rPr>
          <w:rFonts w:ascii="Century Gothic" w:hAnsi="Century Gothic"/>
          <w:b/>
          <w:noProof/>
          <w:lang w:eastAsia="en-NZ"/>
        </w:rPr>
        <w:drawing>
          <wp:anchor distT="0" distB="0" distL="114300" distR="114300" simplePos="0" relativeHeight="251661312" behindDoc="1" locked="0" layoutInCell="1" allowOverlap="1">
            <wp:simplePos x="0" y="0"/>
            <wp:positionH relativeFrom="column">
              <wp:posOffset>-175895</wp:posOffset>
            </wp:positionH>
            <wp:positionV relativeFrom="paragraph">
              <wp:posOffset>-440690</wp:posOffset>
            </wp:positionV>
            <wp:extent cx="1225550" cy="1066800"/>
            <wp:effectExtent l="1905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srcRect l="13570" t="19369" r="68200" b="51797"/>
                    <a:stretch>
                      <a:fillRect/>
                    </a:stretch>
                  </pic:blipFill>
                  <pic:spPr bwMode="auto">
                    <a:xfrm>
                      <a:off x="0" y="0"/>
                      <a:ext cx="1225550" cy="1066800"/>
                    </a:xfrm>
                    <a:prstGeom prst="rect">
                      <a:avLst/>
                    </a:prstGeom>
                    <a:noFill/>
                    <a:ln w="9525">
                      <a:noFill/>
                      <a:miter lim="800000"/>
                      <a:headEnd/>
                      <a:tailEnd/>
                    </a:ln>
                  </pic:spPr>
                </pic:pic>
              </a:graphicData>
            </a:graphic>
          </wp:anchor>
        </w:drawing>
      </w:r>
    </w:p>
    <w:p w:rsidR="00FF01B5" w:rsidRDefault="00FF01B5" w:rsidP="00485FAC">
      <w:pPr>
        <w:jc w:val="center"/>
        <w:rPr>
          <w:rFonts w:ascii="Century Gothic" w:hAnsi="Century Gothic"/>
          <w:b/>
        </w:rPr>
      </w:pPr>
      <w:r w:rsidRPr="00FF01B5">
        <w:rPr>
          <w:rFonts w:ascii="Century Gothic" w:hAnsi="Century Gothic"/>
          <w:b/>
        </w:rPr>
        <w:t xml:space="preserve">Westbridge Residential School and </w:t>
      </w:r>
      <w:proofErr w:type="spellStart"/>
      <w:r w:rsidRPr="00FF01B5">
        <w:rPr>
          <w:rFonts w:ascii="Century Gothic" w:hAnsi="Century Gothic"/>
          <w:b/>
        </w:rPr>
        <w:t>Halswell</w:t>
      </w:r>
      <w:proofErr w:type="spellEnd"/>
      <w:r w:rsidRPr="00FF01B5">
        <w:rPr>
          <w:rFonts w:ascii="Century Gothic" w:hAnsi="Century Gothic"/>
          <w:b/>
        </w:rPr>
        <w:t xml:space="preserve"> Residential College</w:t>
      </w:r>
    </w:p>
    <w:p w:rsidR="00980B49" w:rsidRDefault="00FF01B5" w:rsidP="00485FAC">
      <w:pPr>
        <w:jc w:val="center"/>
        <w:rPr>
          <w:rFonts w:ascii="Century Gothic" w:hAnsi="Century Gothic"/>
          <w:b/>
        </w:rPr>
      </w:pPr>
      <w:r>
        <w:rPr>
          <w:rFonts w:ascii="Century Gothic" w:hAnsi="Century Gothic"/>
          <w:b/>
        </w:rPr>
        <w:t>C</w:t>
      </w:r>
      <w:r w:rsidRPr="00FF01B5">
        <w:rPr>
          <w:rFonts w:ascii="Century Gothic" w:hAnsi="Century Gothic"/>
          <w:b/>
        </w:rPr>
        <w:t>ombined Board of Trustees</w:t>
      </w:r>
    </w:p>
    <w:p w:rsidR="00FF01B5" w:rsidRDefault="00881593" w:rsidP="00485FAC">
      <w:pPr>
        <w:jc w:val="center"/>
        <w:rPr>
          <w:rFonts w:ascii="Century Gothic" w:hAnsi="Century Gothic"/>
          <w:b/>
        </w:rPr>
      </w:pPr>
      <w:r>
        <w:rPr>
          <w:rFonts w:ascii="Century Gothic" w:hAnsi="Century Gothic"/>
          <w:b/>
        </w:rPr>
        <w:t>HEALTH AND SAFETY POLICY</w:t>
      </w:r>
    </w:p>
    <w:p w:rsidR="00231734" w:rsidRDefault="00231734" w:rsidP="00881593">
      <w:pPr>
        <w:jc w:val="both"/>
        <w:rPr>
          <w:rFonts w:ascii="Century Gothic" w:hAnsi="Century Gothic"/>
        </w:rPr>
      </w:pPr>
      <w:proofErr w:type="spellStart"/>
      <w:r w:rsidRPr="00231734">
        <w:rPr>
          <w:rFonts w:ascii="Century Gothic" w:hAnsi="Century Gothic"/>
        </w:rPr>
        <w:t>Halswell</w:t>
      </w:r>
      <w:proofErr w:type="spellEnd"/>
      <w:r w:rsidRPr="00231734">
        <w:rPr>
          <w:rFonts w:ascii="Century Gothic" w:hAnsi="Century Gothic"/>
        </w:rPr>
        <w:t xml:space="preserve"> Residential College and Westbridge Residential School will</w:t>
      </w:r>
      <w:r w:rsidR="004D5970">
        <w:rPr>
          <w:rFonts w:ascii="Century Gothic" w:hAnsi="Century Gothic"/>
        </w:rPr>
        <w:t xml:space="preserve">, so far as is reasonably practicable, take </w:t>
      </w:r>
      <w:r w:rsidRPr="00231734">
        <w:rPr>
          <w:rFonts w:ascii="Century Gothic" w:hAnsi="Century Gothic"/>
        </w:rPr>
        <w:t>steps to ensure the safety of workers, students, other persons, as defined by the Health and Safety at Work Act 2015, by complying with all relevant health and safety legislation, standards and codes of practice.</w:t>
      </w:r>
    </w:p>
    <w:p w:rsidR="008919AD" w:rsidRDefault="008919AD" w:rsidP="00881593">
      <w:pPr>
        <w:jc w:val="both"/>
        <w:rPr>
          <w:rFonts w:ascii="Century Gothic" w:hAnsi="Century Gothic"/>
        </w:rPr>
      </w:pPr>
      <w:r>
        <w:rPr>
          <w:rFonts w:ascii="Century Gothic" w:hAnsi="Century Gothic"/>
        </w:rPr>
        <w:t>The Board of Trustees’ commitment is to comply with all relevant health and safety legislation, and the continuous improvement in health and safety.</w:t>
      </w:r>
    </w:p>
    <w:p w:rsidR="00881593" w:rsidRPr="00881593" w:rsidRDefault="00881593" w:rsidP="00881593">
      <w:pPr>
        <w:jc w:val="both"/>
        <w:rPr>
          <w:rFonts w:ascii="Century Gothic" w:hAnsi="Century Gothic"/>
        </w:rPr>
      </w:pPr>
      <w:r w:rsidRPr="00881593">
        <w:rPr>
          <w:rFonts w:ascii="Century Gothic" w:hAnsi="Century Gothic"/>
          <w:b/>
        </w:rPr>
        <w:t>This is achieved by</w:t>
      </w:r>
      <w:r w:rsidRPr="00881593">
        <w:rPr>
          <w:rFonts w:ascii="Century Gothic" w:hAnsi="Century Gothic"/>
        </w:rPr>
        <w:t xml:space="preserve">  </w:t>
      </w:r>
    </w:p>
    <w:p w:rsidR="00231734" w:rsidRPr="00231734" w:rsidRDefault="00231734" w:rsidP="00231734">
      <w:pPr>
        <w:pStyle w:val="ListParagraph"/>
        <w:numPr>
          <w:ilvl w:val="0"/>
          <w:numId w:val="9"/>
        </w:numPr>
        <w:contextualSpacing w:val="0"/>
        <w:rPr>
          <w:rFonts w:ascii="Century Gothic" w:hAnsi="Century Gothic"/>
          <w:b/>
        </w:rPr>
      </w:pPr>
      <w:r w:rsidRPr="00231734">
        <w:rPr>
          <w:rFonts w:ascii="Century Gothic" w:hAnsi="Century Gothic"/>
        </w:rPr>
        <w:t>All workers having individual responsibility for health and safety.</w:t>
      </w:r>
    </w:p>
    <w:p w:rsidR="00231734" w:rsidRPr="00231734" w:rsidRDefault="00231734" w:rsidP="00231734">
      <w:pPr>
        <w:pStyle w:val="ListParagraph"/>
        <w:numPr>
          <w:ilvl w:val="0"/>
          <w:numId w:val="9"/>
        </w:numPr>
        <w:contextualSpacing w:val="0"/>
        <w:rPr>
          <w:rFonts w:ascii="Century Gothic" w:hAnsi="Century Gothic"/>
          <w:b/>
        </w:rPr>
      </w:pPr>
      <w:r w:rsidRPr="00231734">
        <w:rPr>
          <w:rFonts w:ascii="Century Gothic" w:hAnsi="Century Gothic"/>
        </w:rPr>
        <w:t>All workers:</w:t>
      </w:r>
    </w:p>
    <w:p w:rsidR="00231734" w:rsidRPr="00231734" w:rsidRDefault="00231734" w:rsidP="00231734">
      <w:pPr>
        <w:pStyle w:val="ListParagraph"/>
        <w:numPr>
          <w:ilvl w:val="1"/>
          <w:numId w:val="9"/>
        </w:numPr>
        <w:contextualSpacing w:val="0"/>
        <w:rPr>
          <w:rFonts w:ascii="Century Gothic" w:hAnsi="Century Gothic"/>
          <w:b/>
        </w:rPr>
      </w:pPr>
      <w:r w:rsidRPr="00231734">
        <w:rPr>
          <w:rFonts w:ascii="Century Gothic" w:hAnsi="Century Gothic"/>
        </w:rPr>
        <w:t>Being informed of</w:t>
      </w:r>
    </w:p>
    <w:p w:rsidR="00231734" w:rsidRPr="00231734" w:rsidRDefault="00231734" w:rsidP="00231734">
      <w:pPr>
        <w:pStyle w:val="ListParagraph"/>
        <w:numPr>
          <w:ilvl w:val="1"/>
          <w:numId w:val="9"/>
        </w:numPr>
        <w:contextualSpacing w:val="0"/>
        <w:rPr>
          <w:rFonts w:ascii="Century Gothic" w:hAnsi="Century Gothic"/>
          <w:b/>
        </w:rPr>
      </w:pPr>
      <w:r w:rsidRPr="00231734">
        <w:rPr>
          <w:rFonts w:ascii="Century Gothic" w:hAnsi="Century Gothic"/>
        </w:rPr>
        <w:t>Understanding, and</w:t>
      </w:r>
    </w:p>
    <w:p w:rsidR="00231734" w:rsidRPr="00231734" w:rsidRDefault="00231734" w:rsidP="00231734">
      <w:pPr>
        <w:pStyle w:val="ListParagraph"/>
        <w:numPr>
          <w:ilvl w:val="1"/>
          <w:numId w:val="9"/>
        </w:numPr>
        <w:contextualSpacing w:val="0"/>
        <w:rPr>
          <w:rFonts w:ascii="Century Gothic" w:hAnsi="Century Gothic"/>
          <w:b/>
        </w:rPr>
      </w:pPr>
      <w:r w:rsidRPr="00231734">
        <w:rPr>
          <w:rFonts w:ascii="Century Gothic" w:hAnsi="Century Gothic"/>
        </w:rPr>
        <w:t>Accepting their responsibility for eliminating or minimising the potential risk to people at their workplace, including workers and all other persons</w:t>
      </w:r>
      <w:r w:rsidR="00025905">
        <w:rPr>
          <w:rFonts w:ascii="Century Gothic" w:hAnsi="Century Gothic"/>
        </w:rPr>
        <w:t xml:space="preserve">. </w:t>
      </w:r>
    </w:p>
    <w:p w:rsidR="00231734" w:rsidRPr="00231734" w:rsidRDefault="00231734" w:rsidP="00231734">
      <w:pPr>
        <w:pStyle w:val="ListParagraph"/>
        <w:numPr>
          <w:ilvl w:val="1"/>
          <w:numId w:val="9"/>
        </w:numPr>
        <w:contextualSpacing w:val="0"/>
        <w:rPr>
          <w:rFonts w:ascii="Century Gothic" w:hAnsi="Century Gothic"/>
          <w:b/>
        </w:rPr>
      </w:pPr>
      <w:r w:rsidRPr="00231734">
        <w:rPr>
          <w:rFonts w:ascii="Century Gothic" w:hAnsi="Century Gothic"/>
        </w:rPr>
        <w:t>Accepting their responsibility for eliminating or minimising</w:t>
      </w:r>
      <w:r w:rsidR="00ED195A">
        <w:rPr>
          <w:rFonts w:ascii="Century Gothic" w:hAnsi="Century Gothic"/>
        </w:rPr>
        <w:t xml:space="preserve"> the potential risk to students.</w:t>
      </w:r>
    </w:p>
    <w:p w:rsidR="00231734" w:rsidRPr="00231734" w:rsidRDefault="00231734" w:rsidP="00231734">
      <w:pPr>
        <w:pStyle w:val="ListParagraph"/>
        <w:numPr>
          <w:ilvl w:val="0"/>
          <w:numId w:val="9"/>
        </w:numPr>
        <w:contextualSpacing w:val="0"/>
        <w:rPr>
          <w:rFonts w:ascii="Century Gothic" w:hAnsi="Century Gothic"/>
          <w:b/>
        </w:rPr>
      </w:pPr>
      <w:r w:rsidRPr="00231734">
        <w:rPr>
          <w:rFonts w:ascii="Century Gothic" w:hAnsi="Century Gothic"/>
        </w:rPr>
        <w:t xml:space="preserve">Ensuring employees are consulted </w:t>
      </w:r>
      <w:proofErr w:type="gramStart"/>
      <w:r w:rsidRPr="00231734">
        <w:rPr>
          <w:rFonts w:ascii="Century Gothic" w:hAnsi="Century Gothic"/>
        </w:rPr>
        <w:t>on, and</w:t>
      </w:r>
      <w:proofErr w:type="gramEnd"/>
      <w:r w:rsidRPr="00231734">
        <w:rPr>
          <w:rFonts w:ascii="Century Gothic" w:hAnsi="Century Gothic"/>
        </w:rPr>
        <w:t xml:space="preserve"> given the opportunity to participate in health and safety management</w:t>
      </w:r>
      <w:r w:rsidRPr="00231734">
        <w:rPr>
          <w:rFonts w:ascii="Century Gothic" w:hAnsi="Century Gothic"/>
          <w:b/>
        </w:rPr>
        <w:t>.</w:t>
      </w:r>
    </w:p>
    <w:p w:rsidR="00231734" w:rsidRPr="00231734" w:rsidRDefault="00231734" w:rsidP="00231734">
      <w:pPr>
        <w:pStyle w:val="ListParagraph"/>
        <w:numPr>
          <w:ilvl w:val="0"/>
          <w:numId w:val="9"/>
        </w:numPr>
        <w:contextualSpacing w:val="0"/>
        <w:rPr>
          <w:rFonts w:ascii="Century Gothic" w:hAnsi="Century Gothic"/>
          <w:b/>
        </w:rPr>
      </w:pPr>
      <w:r w:rsidRPr="00231734">
        <w:rPr>
          <w:rFonts w:ascii="Century Gothic" w:hAnsi="Century Gothic"/>
        </w:rPr>
        <w:t>Ensuring union</w:t>
      </w:r>
      <w:r w:rsidR="00B80DC4">
        <w:rPr>
          <w:rFonts w:ascii="Century Gothic" w:hAnsi="Century Gothic"/>
        </w:rPr>
        <w:t xml:space="preserve"> and/</w:t>
      </w:r>
      <w:r w:rsidRPr="00231734">
        <w:rPr>
          <w:rFonts w:ascii="Century Gothic" w:hAnsi="Century Gothic"/>
        </w:rPr>
        <w:t>or other employee representatives are consulted regarding health and safety management.</w:t>
      </w:r>
    </w:p>
    <w:p w:rsidR="00231734" w:rsidRPr="00231734" w:rsidRDefault="00231734" w:rsidP="00231734">
      <w:pPr>
        <w:pStyle w:val="ListParagraph"/>
        <w:numPr>
          <w:ilvl w:val="0"/>
          <w:numId w:val="9"/>
        </w:numPr>
        <w:contextualSpacing w:val="0"/>
        <w:rPr>
          <w:rFonts w:ascii="Century Gothic" w:hAnsi="Century Gothic"/>
          <w:b/>
        </w:rPr>
      </w:pPr>
      <w:r w:rsidRPr="00231734">
        <w:rPr>
          <w:rFonts w:ascii="Century Gothic" w:hAnsi="Century Gothic"/>
        </w:rPr>
        <w:t>Ensuring the schools have effective methods for identifying hazards.  Hazards will then be assessed using the risk matrix and the risk can be controlled through eliminating the hazard or risk where reasonably practicable.  In situations where this is not able to be achieved then the risk must be minimised.</w:t>
      </w:r>
    </w:p>
    <w:p w:rsidR="00231734" w:rsidRPr="00231734" w:rsidRDefault="00231734" w:rsidP="00231734">
      <w:pPr>
        <w:pStyle w:val="ListParagraph"/>
        <w:numPr>
          <w:ilvl w:val="0"/>
          <w:numId w:val="9"/>
        </w:numPr>
        <w:contextualSpacing w:val="0"/>
        <w:rPr>
          <w:rFonts w:ascii="Century Gothic" w:hAnsi="Century Gothic"/>
          <w:b/>
        </w:rPr>
      </w:pPr>
      <w:r w:rsidRPr="00231734">
        <w:rPr>
          <w:rFonts w:ascii="Century Gothic" w:hAnsi="Century Gothic"/>
        </w:rPr>
        <w:t>Creating and maintaining a safe working environment.  This includes providing facilities for employee health and safety at work, and facilities for students’ health and safety.</w:t>
      </w:r>
    </w:p>
    <w:p w:rsidR="00231734" w:rsidRPr="00231734" w:rsidRDefault="00231734" w:rsidP="00231734">
      <w:pPr>
        <w:pStyle w:val="ListParagraph"/>
        <w:numPr>
          <w:ilvl w:val="0"/>
          <w:numId w:val="9"/>
        </w:numPr>
        <w:contextualSpacing w:val="0"/>
        <w:rPr>
          <w:rFonts w:ascii="Century Gothic" w:hAnsi="Century Gothic"/>
          <w:b/>
        </w:rPr>
      </w:pPr>
      <w:r w:rsidRPr="00231734">
        <w:rPr>
          <w:rFonts w:ascii="Century Gothic" w:hAnsi="Century Gothic"/>
        </w:rPr>
        <w:t>Having in place plans and procedures for all foreseeable emergencies that may arise in the workplaces/schools.</w:t>
      </w:r>
    </w:p>
    <w:p w:rsidR="00231734" w:rsidRPr="00231734" w:rsidRDefault="00231734" w:rsidP="00231734">
      <w:pPr>
        <w:pStyle w:val="ListParagraph"/>
        <w:numPr>
          <w:ilvl w:val="1"/>
          <w:numId w:val="9"/>
        </w:numPr>
        <w:contextualSpacing w:val="0"/>
        <w:rPr>
          <w:rFonts w:ascii="Century Gothic" w:hAnsi="Century Gothic"/>
          <w:b/>
        </w:rPr>
      </w:pPr>
      <w:r w:rsidRPr="00231734">
        <w:rPr>
          <w:rFonts w:ascii="Century Gothic" w:hAnsi="Century Gothic"/>
        </w:rPr>
        <w:lastRenderedPageBreak/>
        <w:t>Emergency procedures are displayed throughout the schools and residences and regular drills are carried out</w:t>
      </w:r>
      <w:r w:rsidRPr="00231734">
        <w:rPr>
          <w:rFonts w:ascii="Century Gothic" w:hAnsi="Century Gothic"/>
          <w:b/>
        </w:rPr>
        <w:t>.</w:t>
      </w:r>
    </w:p>
    <w:p w:rsidR="00231734" w:rsidRPr="00231734" w:rsidRDefault="00231734" w:rsidP="00231734">
      <w:pPr>
        <w:pStyle w:val="ListParagraph"/>
        <w:numPr>
          <w:ilvl w:val="1"/>
          <w:numId w:val="9"/>
        </w:numPr>
        <w:contextualSpacing w:val="0"/>
        <w:rPr>
          <w:rFonts w:ascii="Century Gothic" w:hAnsi="Century Gothic"/>
          <w:b/>
        </w:rPr>
      </w:pPr>
      <w:r w:rsidRPr="00231734">
        <w:rPr>
          <w:rFonts w:ascii="Century Gothic" w:hAnsi="Century Gothic"/>
        </w:rPr>
        <w:t>All employees are trained in first aid and are required to be familiar with emergency procedures</w:t>
      </w:r>
      <w:r w:rsidRPr="00231734">
        <w:rPr>
          <w:rFonts w:ascii="Century Gothic" w:hAnsi="Century Gothic"/>
          <w:b/>
        </w:rPr>
        <w:t>.</w:t>
      </w:r>
    </w:p>
    <w:p w:rsidR="00231734" w:rsidRPr="00231734" w:rsidRDefault="00231734" w:rsidP="00231734">
      <w:pPr>
        <w:pStyle w:val="ListParagraph"/>
        <w:numPr>
          <w:ilvl w:val="0"/>
          <w:numId w:val="9"/>
        </w:numPr>
        <w:contextualSpacing w:val="0"/>
        <w:rPr>
          <w:rFonts w:ascii="Century Gothic" w:hAnsi="Century Gothic"/>
          <w:b/>
        </w:rPr>
      </w:pPr>
      <w:r w:rsidRPr="00231734">
        <w:rPr>
          <w:rFonts w:ascii="Century Gothic" w:hAnsi="Century Gothic"/>
        </w:rPr>
        <w:t>Providing appropriate orientation, training and supervision for all new and existing employees.</w:t>
      </w:r>
    </w:p>
    <w:p w:rsidR="00231734" w:rsidRPr="00231734" w:rsidRDefault="00231734" w:rsidP="00231734">
      <w:pPr>
        <w:pStyle w:val="ListParagraph"/>
        <w:numPr>
          <w:ilvl w:val="0"/>
          <w:numId w:val="9"/>
        </w:numPr>
        <w:contextualSpacing w:val="0"/>
        <w:rPr>
          <w:rFonts w:ascii="Century Gothic" w:hAnsi="Century Gothic"/>
          <w:b/>
        </w:rPr>
      </w:pPr>
      <w:r w:rsidRPr="00231734">
        <w:rPr>
          <w:rFonts w:ascii="Century Gothic" w:hAnsi="Century Gothic"/>
        </w:rPr>
        <w:t>Having effective procedures for the hiring and monitoring of contractors and being accountable for their safety and for that of other visitors.</w:t>
      </w:r>
    </w:p>
    <w:p w:rsidR="00231734" w:rsidRPr="00231734" w:rsidRDefault="00231734" w:rsidP="00231734">
      <w:pPr>
        <w:pStyle w:val="ListParagraph"/>
        <w:numPr>
          <w:ilvl w:val="0"/>
          <w:numId w:val="9"/>
        </w:numPr>
        <w:contextualSpacing w:val="0"/>
        <w:rPr>
          <w:rFonts w:ascii="Century Gothic" w:hAnsi="Century Gothic"/>
          <w:b/>
        </w:rPr>
      </w:pPr>
      <w:r w:rsidRPr="00231734">
        <w:rPr>
          <w:rFonts w:ascii="Century Gothic" w:hAnsi="Century Gothic"/>
        </w:rPr>
        <w:t>Accurate recording, reporting and investigating injuries/accidents.</w:t>
      </w:r>
    </w:p>
    <w:p w:rsidR="00231734" w:rsidRPr="00231734" w:rsidRDefault="00231734" w:rsidP="00231734">
      <w:pPr>
        <w:pStyle w:val="ListParagraph"/>
        <w:numPr>
          <w:ilvl w:val="0"/>
          <w:numId w:val="9"/>
        </w:numPr>
        <w:contextualSpacing w:val="0"/>
        <w:rPr>
          <w:rFonts w:ascii="Century Gothic" w:hAnsi="Century Gothic"/>
          <w:b/>
        </w:rPr>
      </w:pPr>
      <w:r w:rsidRPr="00231734">
        <w:rPr>
          <w:rFonts w:ascii="Century Gothic" w:hAnsi="Century Gothic"/>
        </w:rPr>
        <w:t>Ensuring a risk analysis management system (RAMS) or Safety Action Plan (SAP) is carried out where and when appropriate.</w:t>
      </w:r>
    </w:p>
    <w:p w:rsidR="00231734" w:rsidRPr="00231734" w:rsidRDefault="00231734" w:rsidP="00231734">
      <w:pPr>
        <w:pStyle w:val="ListParagraph"/>
        <w:numPr>
          <w:ilvl w:val="0"/>
          <w:numId w:val="9"/>
        </w:numPr>
        <w:contextualSpacing w:val="0"/>
        <w:rPr>
          <w:rFonts w:ascii="Century Gothic" w:hAnsi="Century Gothic"/>
          <w:b/>
        </w:rPr>
      </w:pPr>
      <w:r w:rsidRPr="00231734">
        <w:rPr>
          <w:rFonts w:ascii="Century Gothic" w:hAnsi="Century Gothic"/>
        </w:rPr>
        <w:t>Supporting the safe and early return to work of any injured employees.</w:t>
      </w:r>
    </w:p>
    <w:p w:rsidR="00231734" w:rsidRPr="00231734" w:rsidRDefault="00231734" w:rsidP="00231734">
      <w:pPr>
        <w:pStyle w:val="ListParagraph"/>
        <w:numPr>
          <w:ilvl w:val="0"/>
          <w:numId w:val="9"/>
        </w:numPr>
        <w:contextualSpacing w:val="0"/>
        <w:rPr>
          <w:rFonts w:ascii="Century Gothic" w:hAnsi="Century Gothic"/>
          <w:b/>
        </w:rPr>
      </w:pPr>
      <w:r w:rsidRPr="00231734">
        <w:rPr>
          <w:rFonts w:ascii="Century Gothic" w:hAnsi="Century Gothic"/>
        </w:rPr>
        <w:t>The ongoing evaluation, review and updating of the schools’ compliance with the Board’s health and safety policy and related programmes/procedures.</w:t>
      </w:r>
    </w:p>
    <w:p w:rsidR="00231734" w:rsidRPr="00231734" w:rsidRDefault="00231734" w:rsidP="00231734">
      <w:pPr>
        <w:pStyle w:val="ListParagraph"/>
        <w:numPr>
          <w:ilvl w:val="0"/>
          <w:numId w:val="9"/>
        </w:numPr>
        <w:contextualSpacing w:val="0"/>
        <w:rPr>
          <w:rFonts w:ascii="Century Gothic" w:hAnsi="Century Gothic"/>
          <w:b/>
        </w:rPr>
      </w:pPr>
      <w:r w:rsidRPr="00231734">
        <w:rPr>
          <w:rFonts w:ascii="Century Gothic" w:hAnsi="Century Gothic"/>
        </w:rPr>
        <w:t>Having in place plans and procedures for the effective management of Notifiable Events, as defined by the Health and Safety at Work Act 2015.</w:t>
      </w:r>
    </w:p>
    <w:p w:rsidR="00231734" w:rsidRPr="00231734" w:rsidRDefault="00231734" w:rsidP="00231734">
      <w:pPr>
        <w:pStyle w:val="ListParagraph"/>
        <w:numPr>
          <w:ilvl w:val="0"/>
          <w:numId w:val="9"/>
        </w:numPr>
        <w:contextualSpacing w:val="0"/>
        <w:rPr>
          <w:rFonts w:ascii="Century Gothic" w:hAnsi="Century Gothic"/>
          <w:b/>
        </w:rPr>
      </w:pPr>
      <w:r w:rsidRPr="00231734">
        <w:rPr>
          <w:rFonts w:ascii="Century Gothic" w:hAnsi="Century Gothic"/>
        </w:rPr>
        <w:t>As far as is reasonably practicable; consult, co-operate with, and co-ordinate with other PCBUs around health and safety matters when activities require shared duties.</w:t>
      </w:r>
    </w:p>
    <w:p w:rsidR="00485FAC" w:rsidRDefault="00231734" w:rsidP="00231734">
      <w:pPr>
        <w:spacing w:after="0"/>
        <w:rPr>
          <w:rFonts w:ascii="Century Gothic" w:hAnsi="Century Gothic"/>
        </w:rPr>
      </w:pPr>
      <w:r w:rsidRPr="00231734">
        <w:rPr>
          <w:rFonts w:ascii="Century Gothic" w:hAnsi="Century Gothic"/>
        </w:rPr>
        <w:t>This policy is to be read in conjunction with any other policies or procedures which may include a health and safety component.  This could include, but is not limited to, policies or procedures relating to abuse, computer and internet use, behaviour management and physical intervention.</w:t>
      </w:r>
    </w:p>
    <w:p w:rsidR="00231734" w:rsidRDefault="00231734" w:rsidP="00231734">
      <w:pPr>
        <w:spacing w:after="0"/>
        <w:rPr>
          <w:rFonts w:ascii="Century Gothic" w:hAnsi="Century Gothic"/>
        </w:rPr>
      </w:pPr>
    </w:p>
    <w:p w:rsidR="00267D04" w:rsidRDefault="00267D04" w:rsidP="00267D04">
      <w:pPr>
        <w:spacing w:after="0"/>
        <w:rPr>
          <w:rFonts w:ascii="Century Gothic" w:hAnsi="Century Gothic"/>
        </w:rPr>
      </w:pPr>
    </w:p>
    <w:p w:rsidR="00267D04" w:rsidRPr="008562A8" w:rsidRDefault="00267D04" w:rsidP="00267D04">
      <w:pPr>
        <w:spacing w:after="0"/>
        <w:rPr>
          <w:rFonts w:ascii="Century Gothic" w:hAnsi="Century Gothic"/>
        </w:rPr>
      </w:pPr>
      <w:r w:rsidRPr="00A93343">
        <w:rPr>
          <w:rFonts w:ascii="Century Gothic" w:hAnsi="Century Gothic"/>
          <w:b/>
        </w:rPr>
        <w:t xml:space="preserve">Prepared by: </w:t>
      </w:r>
      <w:r w:rsidR="000F272E">
        <w:rPr>
          <w:rFonts w:ascii="Century Gothic" w:hAnsi="Century Gothic"/>
        </w:rPr>
        <w:t>Combined Board of Trustees</w:t>
      </w:r>
    </w:p>
    <w:p w:rsidR="00267D04" w:rsidRPr="008562A8" w:rsidRDefault="00267D04" w:rsidP="00267D04">
      <w:pPr>
        <w:spacing w:after="0"/>
        <w:rPr>
          <w:rFonts w:ascii="Century Gothic" w:hAnsi="Century Gothic"/>
        </w:rPr>
      </w:pPr>
      <w:r w:rsidRPr="00A93343">
        <w:rPr>
          <w:rFonts w:ascii="Century Gothic" w:hAnsi="Century Gothic"/>
          <w:b/>
        </w:rPr>
        <w:t xml:space="preserve">Date of Approval: </w:t>
      </w:r>
      <w:r w:rsidR="00843BD1">
        <w:rPr>
          <w:rFonts w:ascii="Century Gothic" w:hAnsi="Century Gothic"/>
        </w:rPr>
        <w:t>13 December 201</w:t>
      </w:r>
      <w:r w:rsidR="00A4747F">
        <w:rPr>
          <w:rFonts w:ascii="Century Gothic" w:hAnsi="Century Gothic"/>
        </w:rPr>
        <w:t>9</w:t>
      </w:r>
    </w:p>
    <w:p w:rsidR="00267D04" w:rsidRPr="008562A8" w:rsidRDefault="00267D04" w:rsidP="00267D04">
      <w:pPr>
        <w:spacing w:after="0"/>
        <w:rPr>
          <w:rFonts w:ascii="Century Gothic" w:hAnsi="Century Gothic"/>
        </w:rPr>
      </w:pPr>
      <w:r w:rsidRPr="00A93343">
        <w:rPr>
          <w:rFonts w:ascii="Century Gothic" w:hAnsi="Century Gothic"/>
          <w:b/>
        </w:rPr>
        <w:t xml:space="preserve">Review Date: </w:t>
      </w:r>
      <w:r w:rsidR="00843BD1">
        <w:rPr>
          <w:rFonts w:ascii="Century Gothic" w:hAnsi="Century Gothic"/>
        </w:rPr>
        <w:t>December 2022</w:t>
      </w:r>
    </w:p>
    <w:p w:rsidR="000455AC" w:rsidRPr="00231734" w:rsidRDefault="00267D04" w:rsidP="00231734">
      <w:pPr>
        <w:spacing w:after="0"/>
        <w:rPr>
          <w:rFonts w:ascii="Century Gothic" w:hAnsi="Century Gothic"/>
        </w:rPr>
        <w:sectPr w:rsidR="000455AC" w:rsidRPr="00231734" w:rsidSect="00485FAC">
          <w:footerReference w:type="default" r:id="rId10"/>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pPr>
      <w:r w:rsidRPr="00A93343">
        <w:rPr>
          <w:rFonts w:ascii="Century Gothic" w:hAnsi="Century Gothic"/>
          <w:b/>
        </w:rPr>
        <w:t xml:space="preserve">Version: </w:t>
      </w:r>
      <w:r w:rsidR="00843BD1">
        <w:rPr>
          <w:rFonts w:ascii="Century Gothic" w:hAnsi="Century Gothic"/>
        </w:rPr>
        <w:t>2</w:t>
      </w:r>
      <w:bookmarkStart w:id="0" w:name="_GoBack"/>
      <w:bookmarkEnd w:id="0"/>
    </w:p>
    <w:p w:rsidR="00E910CC" w:rsidRPr="00FF01B5" w:rsidRDefault="00E910CC" w:rsidP="00267D04"/>
    <w:sectPr w:rsidR="00E910CC" w:rsidRPr="00FF01B5" w:rsidSect="00485FA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FAC" w:rsidRDefault="00485FAC" w:rsidP="007A7857">
      <w:pPr>
        <w:spacing w:after="0" w:line="240" w:lineRule="auto"/>
      </w:pPr>
      <w:r>
        <w:separator/>
      </w:r>
    </w:p>
  </w:endnote>
  <w:endnote w:type="continuationSeparator" w:id="0">
    <w:p w:rsidR="00485FAC" w:rsidRDefault="00485FAC" w:rsidP="007A7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56761"/>
      <w:docPartObj>
        <w:docPartGallery w:val="Page Numbers (Bottom of Page)"/>
        <w:docPartUnique/>
      </w:docPartObj>
    </w:sdtPr>
    <w:sdtEndPr/>
    <w:sdtContent>
      <w:p w:rsidR="00485FAC" w:rsidRDefault="004121BE">
        <w:pPr>
          <w:pStyle w:val="Footer"/>
        </w:pPr>
        <w:r>
          <w:fldChar w:fldCharType="begin"/>
        </w:r>
        <w:r>
          <w:instrText xml:space="preserve"> PAGE   \* MERGEFORMAT </w:instrText>
        </w:r>
        <w:r>
          <w:fldChar w:fldCharType="separate"/>
        </w:r>
        <w:r w:rsidR="000F272E">
          <w:rPr>
            <w:noProof/>
          </w:rPr>
          <w:t>3</w:t>
        </w:r>
        <w:r>
          <w:rPr>
            <w:noProof/>
          </w:rPr>
          <w:fldChar w:fldCharType="end"/>
        </w:r>
      </w:p>
    </w:sdtContent>
  </w:sdt>
  <w:p w:rsidR="00485FAC" w:rsidRDefault="00485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FAC" w:rsidRDefault="00485FAC" w:rsidP="007A7857">
      <w:pPr>
        <w:spacing w:after="0" w:line="240" w:lineRule="auto"/>
      </w:pPr>
      <w:r>
        <w:separator/>
      </w:r>
    </w:p>
  </w:footnote>
  <w:footnote w:type="continuationSeparator" w:id="0">
    <w:p w:rsidR="00485FAC" w:rsidRDefault="00485FAC" w:rsidP="007A78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F072C"/>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DE256D"/>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23303B"/>
    <w:multiLevelType w:val="hybridMultilevel"/>
    <w:tmpl w:val="FF2CCBB6"/>
    <w:lvl w:ilvl="0" w:tplc="50DC643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CEC5C0A"/>
    <w:multiLevelType w:val="hybridMultilevel"/>
    <w:tmpl w:val="868E7B34"/>
    <w:lvl w:ilvl="0" w:tplc="50DC643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D0F5AAA"/>
    <w:multiLevelType w:val="multilevel"/>
    <w:tmpl w:val="E64EBE1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1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EB05E64"/>
    <w:multiLevelType w:val="multilevel"/>
    <w:tmpl w:val="E64EBE1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1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CE278A0"/>
    <w:multiLevelType w:val="multilevel"/>
    <w:tmpl w:val="05F49B52"/>
    <w:lvl w:ilvl="0">
      <w:start w:val="1"/>
      <w:numFmt w:val="decimal"/>
      <w:lvlText w:val="%1."/>
      <w:lvlJc w:val="left"/>
      <w:pPr>
        <w:ind w:left="360" w:hanging="360"/>
      </w:pPr>
      <w:rPr>
        <w:b/>
      </w:rPr>
    </w:lvl>
    <w:lvl w:ilvl="1">
      <w:start w:val="1"/>
      <w:numFmt w:val="decimal"/>
      <w:lvlText w:val="%1.%2."/>
      <w:lvlJc w:val="left"/>
      <w:pPr>
        <w:ind w:left="972" w:hanging="432"/>
      </w:pPr>
      <w:rPr>
        <w:b/>
        <w:i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6E2152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BF4A08"/>
    <w:multiLevelType w:val="hybridMultilevel"/>
    <w:tmpl w:val="45DC646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1B5"/>
    <w:rsid w:val="00025905"/>
    <w:rsid w:val="000455AC"/>
    <w:rsid w:val="000C6354"/>
    <w:rsid w:val="000F272E"/>
    <w:rsid w:val="00100A73"/>
    <w:rsid w:val="001070A7"/>
    <w:rsid w:val="001216A0"/>
    <w:rsid w:val="001250FA"/>
    <w:rsid w:val="001557A4"/>
    <w:rsid w:val="001629B1"/>
    <w:rsid w:val="001727A2"/>
    <w:rsid w:val="001B4CB6"/>
    <w:rsid w:val="001C4714"/>
    <w:rsid w:val="002013AB"/>
    <w:rsid w:val="00202F4C"/>
    <w:rsid w:val="00215568"/>
    <w:rsid w:val="00231734"/>
    <w:rsid w:val="00240C8A"/>
    <w:rsid w:val="00267D04"/>
    <w:rsid w:val="002A477F"/>
    <w:rsid w:val="002B1369"/>
    <w:rsid w:val="00321AF4"/>
    <w:rsid w:val="00340CAB"/>
    <w:rsid w:val="00360B85"/>
    <w:rsid w:val="003B39D9"/>
    <w:rsid w:val="004121BE"/>
    <w:rsid w:val="00417880"/>
    <w:rsid w:val="00485FAC"/>
    <w:rsid w:val="004A766D"/>
    <w:rsid w:val="004D5970"/>
    <w:rsid w:val="00524116"/>
    <w:rsid w:val="00530AD4"/>
    <w:rsid w:val="00531711"/>
    <w:rsid w:val="0053772D"/>
    <w:rsid w:val="0064009D"/>
    <w:rsid w:val="0065775E"/>
    <w:rsid w:val="00696D0F"/>
    <w:rsid w:val="006A3830"/>
    <w:rsid w:val="006D6903"/>
    <w:rsid w:val="007513B5"/>
    <w:rsid w:val="00767BCC"/>
    <w:rsid w:val="007A7857"/>
    <w:rsid w:val="007D2557"/>
    <w:rsid w:val="00811090"/>
    <w:rsid w:val="0084376A"/>
    <w:rsid w:val="00843BD1"/>
    <w:rsid w:val="008562A8"/>
    <w:rsid w:val="00881593"/>
    <w:rsid w:val="008919AD"/>
    <w:rsid w:val="00895AC2"/>
    <w:rsid w:val="008D271D"/>
    <w:rsid w:val="008F2303"/>
    <w:rsid w:val="00913D01"/>
    <w:rsid w:val="009211B8"/>
    <w:rsid w:val="00942A57"/>
    <w:rsid w:val="00952980"/>
    <w:rsid w:val="009544EF"/>
    <w:rsid w:val="00980B49"/>
    <w:rsid w:val="00A4747F"/>
    <w:rsid w:val="00A63DCE"/>
    <w:rsid w:val="00AA56A3"/>
    <w:rsid w:val="00AB29DA"/>
    <w:rsid w:val="00AB4623"/>
    <w:rsid w:val="00AB5F01"/>
    <w:rsid w:val="00B118F0"/>
    <w:rsid w:val="00B80DC4"/>
    <w:rsid w:val="00BC3194"/>
    <w:rsid w:val="00BD2513"/>
    <w:rsid w:val="00BE1143"/>
    <w:rsid w:val="00C26662"/>
    <w:rsid w:val="00CF5B98"/>
    <w:rsid w:val="00D341C3"/>
    <w:rsid w:val="00D40D4E"/>
    <w:rsid w:val="00D949DB"/>
    <w:rsid w:val="00DD29EC"/>
    <w:rsid w:val="00E41A0D"/>
    <w:rsid w:val="00E910CC"/>
    <w:rsid w:val="00EA27FE"/>
    <w:rsid w:val="00ED195A"/>
    <w:rsid w:val="00ED424A"/>
    <w:rsid w:val="00EE41BD"/>
    <w:rsid w:val="00F125C5"/>
    <w:rsid w:val="00F31F03"/>
    <w:rsid w:val="00F36E1C"/>
    <w:rsid w:val="00F87C5F"/>
    <w:rsid w:val="00FF0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F6EEDD0"/>
  <w15:docId w15:val="{B0A3211C-C6BD-4805-BB7A-F501212A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B5"/>
    <w:pPr>
      <w:ind w:left="720"/>
      <w:contextualSpacing/>
    </w:pPr>
  </w:style>
  <w:style w:type="paragraph" w:styleId="FootnoteText">
    <w:name w:val="footnote text"/>
    <w:basedOn w:val="Normal"/>
    <w:link w:val="FootnoteTextChar"/>
    <w:uiPriority w:val="99"/>
    <w:semiHidden/>
    <w:unhideWhenUsed/>
    <w:rsid w:val="007A78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7857"/>
    <w:rPr>
      <w:sz w:val="20"/>
      <w:szCs w:val="20"/>
    </w:rPr>
  </w:style>
  <w:style w:type="character" w:styleId="FootnoteReference">
    <w:name w:val="footnote reference"/>
    <w:basedOn w:val="DefaultParagraphFont"/>
    <w:uiPriority w:val="99"/>
    <w:semiHidden/>
    <w:unhideWhenUsed/>
    <w:rsid w:val="007A7857"/>
    <w:rPr>
      <w:vertAlign w:val="superscript"/>
    </w:rPr>
  </w:style>
  <w:style w:type="paragraph" w:styleId="Header">
    <w:name w:val="header"/>
    <w:basedOn w:val="Normal"/>
    <w:link w:val="HeaderChar"/>
    <w:uiPriority w:val="99"/>
    <w:semiHidden/>
    <w:unhideWhenUsed/>
    <w:rsid w:val="00321A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1AF4"/>
  </w:style>
  <w:style w:type="paragraph" w:styleId="Footer">
    <w:name w:val="footer"/>
    <w:basedOn w:val="Normal"/>
    <w:link w:val="FooterChar"/>
    <w:uiPriority w:val="99"/>
    <w:unhideWhenUsed/>
    <w:rsid w:val="00321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AF4"/>
  </w:style>
  <w:style w:type="paragraph" w:styleId="BalloonText">
    <w:name w:val="Balloon Text"/>
    <w:basedOn w:val="Normal"/>
    <w:link w:val="BalloonTextChar"/>
    <w:uiPriority w:val="99"/>
    <w:semiHidden/>
    <w:unhideWhenUsed/>
    <w:rsid w:val="008D2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71D"/>
    <w:rPr>
      <w:rFonts w:ascii="Tahoma" w:hAnsi="Tahoma" w:cs="Tahoma"/>
      <w:sz w:val="16"/>
      <w:szCs w:val="16"/>
    </w:rPr>
  </w:style>
  <w:style w:type="character" w:styleId="CommentReference">
    <w:name w:val="annotation reference"/>
    <w:basedOn w:val="DefaultParagraphFont"/>
    <w:uiPriority w:val="99"/>
    <w:semiHidden/>
    <w:unhideWhenUsed/>
    <w:rsid w:val="00E910CC"/>
    <w:rPr>
      <w:sz w:val="16"/>
      <w:szCs w:val="16"/>
    </w:rPr>
  </w:style>
  <w:style w:type="paragraph" w:styleId="CommentText">
    <w:name w:val="annotation text"/>
    <w:basedOn w:val="Normal"/>
    <w:link w:val="CommentTextChar"/>
    <w:uiPriority w:val="99"/>
    <w:semiHidden/>
    <w:unhideWhenUsed/>
    <w:rsid w:val="00E910CC"/>
    <w:pPr>
      <w:spacing w:line="240" w:lineRule="auto"/>
    </w:pPr>
    <w:rPr>
      <w:sz w:val="20"/>
      <w:szCs w:val="20"/>
    </w:rPr>
  </w:style>
  <w:style w:type="character" w:customStyle="1" w:styleId="CommentTextChar">
    <w:name w:val="Comment Text Char"/>
    <w:basedOn w:val="DefaultParagraphFont"/>
    <w:link w:val="CommentText"/>
    <w:uiPriority w:val="99"/>
    <w:semiHidden/>
    <w:rsid w:val="00E910CC"/>
    <w:rPr>
      <w:sz w:val="20"/>
      <w:szCs w:val="20"/>
    </w:rPr>
  </w:style>
  <w:style w:type="paragraph" w:styleId="CommentSubject">
    <w:name w:val="annotation subject"/>
    <w:basedOn w:val="CommentText"/>
    <w:next w:val="CommentText"/>
    <w:link w:val="CommentSubjectChar"/>
    <w:uiPriority w:val="99"/>
    <w:semiHidden/>
    <w:unhideWhenUsed/>
    <w:rsid w:val="00E910CC"/>
    <w:rPr>
      <w:b/>
      <w:bCs/>
    </w:rPr>
  </w:style>
  <w:style w:type="character" w:customStyle="1" w:styleId="CommentSubjectChar">
    <w:name w:val="Comment Subject Char"/>
    <w:basedOn w:val="CommentTextChar"/>
    <w:link w:val="CommentSubject"/>
    <w:uiPriority w:val="99"/>
    <w:semiHidden/>
    <w:rsid w:val="00E910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805486">
      <w:bodyDiv w:val="1"/>
      <w:marLeft w:val="0"/>
      <w:marRight w:val="0"/>
      <w:marTop w:val="0"/>
      <w:marBottom w:val="0"/>
      <w:divBdr>
        <w:top w:val="none" w:sz="0" w:space="0" w:color="auto"/>
        <w:left w:val="none" w:sz="0" w:space="0" w:color="auto"/>
        <w:bottom w:val="none" w:sz="0" w:space="0" w:color="auto"/>
        <w:right w:val="none" w:sz="0" w:space="0" w:color="auto"/>
      </w:divBdr>
    </w:div>
    <w:div w:id="749040498">
      <w:bodyDiv w:val="1"/>
      <w:marLeft w:val="0"/>
      <w:marRight w:val="0"/>
      <w:marTop w:val="0"/>
      <w:marBottom w:val="0"/>
      <w:divBdr>
        <w:top w:val="none" w:sz="0" w:space="0" w:color="auto"/>
        <w:left w:val="none" w:sz="0" w:space="0" w:color="auto"/>
        <w:bottom w:val="none" w:sz="0" w:space="0" w:color="auto"/>
        <w:right w:val="none" w:sz="0" w:space="0" w:color="auto"/>
      </w:divBdr>
    </w:div>
    <w:div w:id="86147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1F60A-4995-4FDA-9F86-F9C130154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Halswell Residential College</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aaskey</dc:creator>
  <cp:lastModifiedBy>Anne Askey</cp:lastModifiedBy>
  <cp:revision>20</cp:revision>
  <cp:lastPrinted>2014-08-14T21:21:00Z</cp:lastPrinted>
  <dcterms:created xsi:type="dcterms:W3CDTF">2017-03-05T22:05:00Z</dcterms:created>
  <dcterms:modified xsi:type="dcterms:W3CDTF">2019-12-18T20:38:00Z</dcterms:modified>
</cp:coreProperties>
</file>